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0224BD29"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D71ACE" w:rsidRPr="008D1868">
        <w:rPr>
          <w:rFonts w:cs="Arial"/>
          <w:b/>
          <w:sz w:val="22"/>
          <w:szCs w:val="22"/>
          <w:lang w:val="en-US"/>
        </w:rPr>
        <w:t>1</w:t>
      </w:r>
      <w:r w:rsidR="00D71ACE">
        <w:rPr>
          <w:rFonts w:cs="Arial"/>
          <w:b/>
          <w:sz w:val="22"/>
          <w:szCs w:val="22"/>
          <w:lang w:val="en-US"/>
        </w:rPr>
        <w:t>2</w:t>
      </w:r>
      <w:r w:rsidR="002F7CEF">
        <w:rPr>
          <w:rFonts w:cs="Arial"/>
          <w:b/>
          <w:sz w:val="22"/>
          <w:szCs w:val="22"/>
          <w:lang w:val="en-US"/>
        </w:rPr>
        <w:t>3</w:t>
      </w:r>
      <w:r w:rsidR="00B61478">
        <w:rPr>
          <w:rFonts w:cs="Arial"/>
          <w:b/>
          <w:sz w:val="22"/>
          <w:szCs w:val="22"/>
          <w:lang w:val="en-US"/>
        </w:rPr>
        <w:t>bis</w:t>
      </w:r>
      <w:r w:rsidRPr="008D1868">
        <w:rPr>
          <w:rFonts w:cs="Arial"/>
          <w:b/>
          <w:i/>
          <w:sz w:val="22"/>
          <w:szCs w:val="22"/>
          <w:lang w:val="en-US"/>
        </w:rPr>
        <w:tab/>
      </w:r>
      <w:r w:rsidR="004E0B56" w:rsidRPr="004E0B56">
        <w:rPr>
          <w:rFonts w:cs="Arial"/>
          <w:b/>
          <w:i/>
          <w:sz w:val="22"/>
          <w:szCs w:val="22"/>
          <w:lang w:val="en-US" w:eastAsia="zh-CN"/>
        </w:rPr>
        <w:t>R2-</w:t>
      </w:r>
      <w:r w:rsidR="00B61478" w:rsidRPr="009156F0">
        <w:rPr>
          <w:rFonts w:cs="Arial"/>
          <w:b/>
          <w:i/>
          <w:sz w:val="22"/>
          <w:szCs w:val="22"/>
          <w:lang w:val="en-US" w:eastAsia="zh-CN"/>
        </w:rPr>
        <w:t>230</w:t>
      </w:r>
      <w:r w:rsidR="00DF0794">
        <w:rPr>
          <w:rFonts w:cs="Arial"/>
          <w:b/>
          <w:i/>
          <w:sz w:val="22"/>
          <w:szCs w:val="22"/>
          <w:lang w:val="en-US" w:eastAsia="zh-CN"/>
        </w:rPr>
        <w:t>9687</w:t>
      </w:r>
    </w:p>
    <w:p w14:paraId="540B9A86" w14:textId="003DF311" w:rsidR="00D0573B" w:rsidRDefault="00B61478">
      <w:pPr>
        <w:tabs>
          <w:tab w:val="left" w:pos="1701"/>
          <w:tab w:val="right" w:pos="9639"/>
        </w:tabs>
        <w:spacing w:after="0"/>
        <w:rPr>
          <w:rFonts w:cs="Arial"/>
          <w:b/>
          <w:color w:val="000000"/>
          <w:kern w:val="2"/>
          <w:sz w:val="24"/>
        </w:rPr>
      </w:pPr>
      <w:r>
        <w:rPr>
          <w:rFonts w:cs="Arial"/>
          <w:b/>
          <w:sz w:val="22"/>
          <w:szCs w:val="22"/>
          <w:lang w:val="en-US"/>
        </w:rPr>
        <w:t>Xiamen</w:t>
      </w:r>
      <w:r w:rsidR="00F11F7A">
        <w:rPr>
          <w:rFonts w:cs="Arial"/>
          <w:b/>
          <w:sz w:val="22"/>
          <w:szCs w:val="22"/>
          <w:lang w:val="en-US"/>
        </w:rPr>
        <w:t xml:space="preserve">, </w:t>
      </w:r>
      <w:r>
        <w:rPr>
          <w:rFonts w:cs="Arial"/>
          <w:b/>
          <w:sz w:val="22"/>
          <w:szCs w:val="22"/>
          <w:lang w:val="en-US"/>
        </w:rPr>
        <w:t>China</w:t>
      </w:r>
      <w:r w:rsidR="00D0573B" w:rsidRPr="008D1868">
        <w:rPr>
          <w:rFonts w:cs="Arial"/>
          <w:b/>
          <w:sz w:val="22"/>
          <w:szCs w:val="22"/>
          <w:lang w:val="en-US"/>
        </w:rPr>
        <w:t xml:space="preserve">, </w:t>
      </w:r>
      <w:r>
        <w:rPr>
          <w:rFonts w:cs="Arial"/>
          <w:b/>
          <w:sz w:val="22"/>
          <w:szCs w:val="22"/>
          <w:lang w:val="en-US"/>
        </w:rPr>
        <w:t>October</w:t>
      </w:r>
      <w:r w:rsidRPr="008D1868">
        <w:rPr>
          <w:rFonts w:cs="Arial"/>
          <w:b/>
          <w:sz w:val="22"/>
          <w:szCs w:val="22"/>
          <w:lang w:val="en-US"/>
        </w:rPr>
        <w:t xml:space="preserve"> </w:t>
      </w:r>
      <w:r w:rsidR="00D0573B" w:rsidRPr="008D1868">
        <w:rPr>
          <w:rFonts w:cs="Arial"/>
          <w:b/>
          <w:sz w:val="22"/>
          <w:szCs w:val="22"/>
          <w:lang w:val="en-US"/>
        </w:rPr>
        <w:t>202</w:t>
      </w:r>
      <w:r w:rsidR="00D205BD">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49C2FCB4" w:rsidR="00D0573B" w:rsidRDefault="00D0573B">
      <w:pPr>
        <w:pStyle w:val="3GPPHeader"/>
        <w:rPr>
          <w:sz w:val="22"/>
          <w:szCs w:val="22"/>
        </w:rPr>
      </w:pPr>
      <w:r w:rsidRPr="000575E5">
        <w:rPr>
          <w:sz w:val="22"/>
          <w:szCs w:val="22"/>
        </w:rPr>
        <w:t>Agenda Item:</w:t>
      </w:r>
      <w:r w:rsidRPr="000575E5">
        <w:rPr>
          <w:sz w:val="22"/>
          <w:szCs w:val="22"/>
        </w:rPr>
        <w:tab/>
      </w:r>
      <w:r w:rsidR="00920777">
        <w:rPr>
          <w:sz w:val="22"/>
          <w:szCs w:val="22"/>
        </w:rPr>
        <w:t>7.25.1</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176FAB42" w:rsidR="00D0573B" w:rsidRDefault="00D0573B">
      <w:pPr>
        <w:pStyle w:val="3GPPHeader"/>
        <w:rPr>
          <w:sz w:val="22"/>
          <w:szCs w:val="22"/>
        </w:rPr>
      </w:pPr>
      <w:r>
        <w:rPr>
          <w:sz w:val="22"/>
          <w:szCs w:val="22"/>
        </w:rPr>
        <w:t>Title:</w:t>
      </w:r>
      <w:r>
        <w:rPr>
          <w:sz w:val="22"/>
          <w:szCs w:val="22"/>
        </w:rPr>
        <w:tab/>
      </w:r>
      <w:r w:rsidR="00D9430A">
        <w:rPr>
          <w:sz w:val="22"/>
          <w:szCs w:val="22"/>
        </w:rPr>
        <w:t xml:space="preserve">Discussion on </w:t>
      </w:r>
      <w:r w:rsidR="002E3957">
        <w:rPr>
          <w:sz w:val="22"/>
          <w:szCs w:val="22"/>
        </w:rPr>
        <w:t xml:space="preserve">BS </w:t>
      </w:r>
      <w:proofErr w:type="spellStart"/>
      <w:r w:rsidR="000E160A">
        <w:rPr>
          <w:sz w:val="22"/>
          <w:szCs w:val="22"/>
        </w:rPr>
        <w:t>signaling</w:t>
      </w:r>
      <w:proofErr w:type="spellEnd"/>
      <w:r w:rsidR="000C6F69">
        <w:rPr>
          <w:sz w:val="22"/>
          <w:szCs w:val="22"/>
        </w:rPr>
        <w:t xml:space="preserve"> </w:t>
      </w:r>
      <w:r w:rsidR="000C6F69">
        <w:rPr>
          <w:rFonts w:hint="eastAsia"/>
          <w:sz w:val="22"/>
          <w:szCs w:val="22"/>
        </w:rPr>
        <w:t>support</w:t>
      </w:r>
      <w:r w:rsidR="000E160A">
        <w:rPr>
          <w:sz w:val="22"/>
          <w:szCs w:val="22"/>
        </w:rPr>
        <w:t xml:space="preserve"> </w:t>
      </w:r>
      <w:r w:rsidR="002E3957">
        <w:rPr>
          <w:sz w:val="22"/>
          <w:szCs w:val="22"/>
        </w:rPr>
        <w:t>for (non-)coll</w:t>
      </w:r>
      <w:r w:rsidR="002861E0">
        <w:rPr>
          <w:sz w:val="22"/>
          <w:szCs w:val="22"/>
        </w:rPr>
        <w:t>ocated scenarios</w:t>
      </w:r>
      <w:r w:rsidR="000E160A">
        <w:rPr>
          <w:sz w:val="22"/>
          <w:szCs w:val="22"/>
        </w:rPr>
        <w:t xml:space="preserve">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1943C4FC" w:rsidR="002D485A" w:rsidRDefault="00D0573B" w:rsidP="0029477E">
      <w:pPr>
        <w:pStyle w:val="ac"/>
        <w:spacing w:before="120"/>
        <w:rPr>
          <w:rFonts w:cs="Arial"/>
        </w:rPr>
      </w:pPr>
      <w:r>
        <w:rPr>
          <w:rFonts w:cs="Arial"/>
        </w:rPr>
        <w:t xml:space="preserve">This is </w:t>
      </w:r>
      <w:bookmarkStart w:id="5" w:name="_Ref178064866"/>
      <w:r w:rsidR="003264B4">
        <w:rPr>
          <w:rFonts w:cs="Arial"/>
        </w:rPr>
        <w:t>to discuss the</w:t>
      </w:r>
      <w:r w:rsidR="00B61478">
        <w:rPr>
          <w:rFonts w:cs="Arial"/>
        </w:rPr>
        <w:t xml:space="preserve"> left issue </w:t>
      </w:r>
      <w:r w:rsidR="00B676BF">
        <w:rPr>
          <w:rFonts w:cs="Arial"/>
        </w:rPr>
        <w:t>from RP-232692.</w:t>
      </w:r>
    </w:p>
    <w:bookmarkEnd w:id="5"/>
    <w:p w14:paraId="23312DF5" w14:textId="2AE4438C" w:rsidR="00D0573B" w:rsidRDefault="007E5320" w:rsidP="005662A3">
      <w:pPr>
        <w:pStyle w:val="1"/>
        <w:ind w:left="720" w:hangingChars="200" w:hanging="720"/>
        <w:jc w:val="both"/>
      </w:pPr>
      <w:r>
        <w:t>Discussion</w:t>
      </w:r>
    </w:p>
    <w:p w14:paraId="7A6CF32A" w14:textId="2BA9C457" w:rsidR="002F7CEF" w:rsidRDefault="002F7CEF" w:rsidP="002F7CEF">
      <w:r>
        <w:rPr>
          <w:rFonts w:hint="eastAsia"/>
        </w:rPr>
        <w:t>B</w:t>
      </w:r>
      <w:r>
        <w:t xml:space="preserve">ased on the latest LS </w:t>
      </w:r>
      <w:r w:rsidR="00B676BF">
        <w:rPr>
          <w:rFonts w:cs="Arial"/>
        </w:rPr>
        <w:t>RP-232692</w:t>
      </w:r>
      <w:r>
        <w:t xml:space="preserve">, </w:t>
      </w:r>
    </w:p>
    <w:p w14:paraId="4A538F44" w14:textId="77777777" w:rsidR="00756894" w:rsidRDefault="00756894" w:rsidP="00FB3236">
      <w:pPr>
        <w:pBdr>
          <w:top w:val="single" w:sz="4" w:space="1" w:color="auto"/>
          <w:left w:val="single" w:sz="4" w:space="4" w:color="auto"/>
          <w:bottom w:val="single" w:sz="4" w:space="1" w:color="auto"/>
          <w:right w:val="single" w:sz="4" w:space="4" w:color="auto"/>
        </w:pBdr>
        <w:textAlignment w:val="auto"/>
        <w:rPr>
          <w:rFonts w:eastAsia="Arial Unicode MS" w:cs="Arial"/>
          <w:color w:val="000000" w:themeColor="text1"/>
          <w:sz w:val="21"/>
          <w:szCs w:val="21"/>
          <w:lang w:eastAsia="ja-JP"/>
        </w:rPr>
      </w:pPr>
      <w:r w:rsidRPr="0032270B">
        <w:rPr>
          <w:rFonts w:eastAsia="Arial Unicode MS" w:cs="Arial"/>
          <w:sz w:val="21"/>
          <w:szCs w:val="21"/>
        </w:rPr>
        <w:t>This new</w:t>
      </w:r>
      <w:r w:rsidRPr="0032270B">
        <w:rPr>
          <w:rFonts w:cs="Arial"/>
          <w:sz w:val="21"/>
          <w:szCs w:val="21"/>
        </w:rPr>
        <w:t xml:space="preserve"> BS signalling</w:t>
      </w:r>
      <w:r>
        <w:rPr>
          <w:rFonts w:cs="Arial"/>
          <w:sz w:val="21"/>
          <w:szCs w:val="21"/>
        </w:rPr>
        <w:t xml:space="preserve"> is applied to the below cases.</w:t>
      </w:r>
    </w:p>
    <w:p w14:paraId="02AC01D1" w14:textId="77777777" w:rsidR="00756894" w:rsidRPr="006B0906" w:rsidRDefault="00756894" w:rsidP="00FB3236">
      <w:pPr>
        <w:pBdr>
          <w:top w:val="single" w:sz="4" w:space="1" w:color="auto"/>
          <w:left w:val="single" w:sz="4" w:space="4" w:color="auto"/>
          <w:bottom w:val="single" w:sz="4" w:space="1" w:color="auto"/>
          <w:right w:val="single" w:sz="4" w:space="4" w:color="auto"/>
        </w:pBdr>
        <w:textAlignment w:val="auto"/>
        <w:rPr>
          <w:rFonts w:eastAsia="Arial Unicode MS" w:cs="Arial"/>
          <w:b/>
          <w:color w:val="000000" w:themeColor="text1"/>
          <w:sz w:val="21"/>
          <w:szCs w:val="21"/>
          <w:u w:val="single"/>
          <w:lang w:eastAsia="ja-JP"/>
        </w:rPr>
      </w:pPr>
      <w:r w:rsidRPr="006B0906">
        <w:rPr>
          <w:rFonts w:eastAsia="Arial Unicode MS" w:cs="Arial"/>
          <w:b/>
          <w:color w:val="000000" w:themeColor="text1"/>
          <w:sz w:val="21"/>
          <w:szCs w:val="21"/>
          <w:u w:val="single"/>
          <w:lang w:eastAsia="ja-JP"/>
        </w:rPr>
        <w:t xml:space="preserve">For </w:t>
      </w:r>
      <w:r w:rsidRPr="006B0906">
        <w:rPr>
          <w:rFonts w:eastAsia="Arial Unicode MS" w:cs="Arial"/>
          <w:b/>
          <w:sz w:val="21"/>
          <w:szCs w:val="21"/>
          <w:u w:val="single"/>
        </w:rPr>
        <w:t xml:space="preserve">TDD-TDD inter-band EN-DC with overlapping </w:t>
      </w:r>
      <w:r w:rsidRPr="006B0906">
        <w:rPr>
          <w:rFonts w:eastAsia="Arial Unicode MS" w:cs="Arial"/>
          <w:b/>
          <w:color w:val="000000"/>
          <w:sz w:val="21"/>
          <w:szCs w:val="21"/>
          <w:u w:val="single"/>
          <w:bdr w:val="none" w:sz="0" w:space="0" w:color="auto" w:frame="1"/>
          <w:shd w:val="clear" w:color="auto" w:fill="FFFFFF"/>
        </w:rPr>
        <w:t>or partially</w:t>
      </w:r>
      <w:r w:rsidRPr="006B0906">
        <w:rPr>
          <w:rFonts w:eastAsia="Arial Unicode MS" w:cs="Arial"/>
          <w:b/>
          <w:sz w:val="21"/>
          <w:szCs w:val="21"/>
          <w:u w:val="single"/>
        </w:rPr>
        <w:t xml:space="preserve"> overlapping bands</w:t>
      </w:r>
    </w:p>
    <w:p w14:paraId="1BCE67CD" w14:textId="77777777" w:rsidR="00756894" w:rsidRDefault="00756894" w:rsidP="00FB3236">
      <w:pPr>
        <w:pBdr>
          <w:top w:val="single" w:sz="4" w:space="1" w:color="auto"/>
          <w:left w:val="single" w:sz="4" w:space="4" w:color="auto"/>
          <w:bottom w:val="single" w:sz="4" w:space="1" w:color="auto"/>
          <w:right w:val="single" w:sz="4" w:space="4" w:color="auto"/>
        </w:pBdr>
        <w:textAlignment w:val="auto"/>
        <w:rPr>
          <w:rFonts w:eastAsia="Arial Unicode MS" w:cs="Arial"/>
          <w:sz w:val="21"/>
          <w:szCs w:val="21"/>
        </w:rPr>
      </w:pPr>
      <w:r w:rsidRPr="00FB3236">
        <w:rPr>
          <w:rFonts w:eastAsia="Arial Unicode MS" w:cs="Arial"/>
          <w:sz w:val="21"/>
          <w:szCs w:val="21"/>
          <w:highlight w:val="green"/>
        </w:rPr>
        <w:t>This new</w:t>
      </w:r>
      <w:r w:rsidRPr="00FB3236">
        <w:rPr>
          <w:rFonts w:cs="Arial"/>
          <w:sz w:val="21"/>
          <w:szCs w:val="21"/>
          <w:highlight w:val="green"/>
        </w:rPr>
        <w:t xml:space="preserve"> BS signalling</w:t>
      </w:r>
      <w:r w:rsidRPr="00FB3236">
        <w:rPr>
          <w:rFonts w:eastAsia="Arial Unicode MS" w:cs="Arial"/>
          <w:sz w:val="21"/>
          <w:szCs w:val="21"/>
          <w:highlight w:val="green"/>
        </w:rPr>
        <w:t xml:space="preserve"> is expected to be applicable for TDD-TDD inter-band EN-DC with overlapping </w:t>
      </w:r>
      <w:r w:rsidRPr="00FB3236">
        <w:rPr>
          <w:rFonts w:eastAsia="Arial Unicode MS" w:cs="Arial"/>
          <w:color w:val="000000"/>
          <w:sz w:val="21"/>
          <w:szCs w:val="21"/>
          <w:highlight w:val="green"/>
          <w:bdr w:val="none" w:sz="0" w:space="0" w:color="auto" w:frame="1"/>
          <w:shd w:val="clear" w:color="auto" w:fill="FFFFFF"/>
        </w:rPr>
        <w:t>or partially</w:t>
      </w:r>
      <w:r w:rsidRPr="00FB3236">
        <w:rPr>
          <w:rFonts w:eastAsia="Arial Unicode MS" w:cs="Arial"/>
          <w:sz w:val="21"/>
          <w:szCs w:val="21"/>
          <w:highlight w:val="green"/>
        </w:rPr>
        <w:t xml:space="preserve"> overlapping bands provided the UE has indicated </w:t>
      </w:r>
      <w:r w:rsidRPr="00FB3236">
        <w:rPr>
          <w:rFonts w:eastAsia="Arial Unicode MS" w:cs="Arial"/>
          <w:i/>
          <w:iCs/>
          <w:color w:val="000000" w:themeColor="text1"/>
          <w:sz w:val="21"/>
          <w:szCs w:val="21"/>
          <w:highlight w:val="green"/>
          <w:lang w:eastAsia="ja-JP"/>
        </w:rPr>
        <w:t>“interBandMRDC-WithOverlapDL-Bands-r16”</w:t>
      </w:r>
      <w:r w:rsidRPr="00FB3236">
        <w:rPr>
          <w:rFonts w:eastAsia="Arial Unicode MS" w:cs="Arial"/>
          <w:sz w:val="21"/>
          <w:szCs w:val="21"/>
          <w:highlight w:val="green"/>
        </w:rPr>
        <w:t>.</w:t>
      </w:r>
    </w:p>
    <w:p w14:paraId="7B2CB9DF" w14:textId="77777777" w:rsidR="00756894" w:rsidRPr="006B0906" w:rsidRDefault="00756894" w:rsidP="00FB3236">
      <w:pPr>
        <w:pBdr>
          <w:top w:val="single" w:sz="4" w:space="1" w:color="auto"/>
          <w:left w:val="single" w:sz="4" w:space="4" w:color="auto"/>
          <w:bottom w:val="single" w:sz="4" w:space="1" w:color="auto"/>
          <w:right w:val="single" w:sz="4" w:space="4" w:color="auto"/>
        </w:pBdr>
        <w:textAlignment w:val="auto"/>
        <w:rPr>
          <w:rFonts w:eastAsia="Arial Unicode MS" w:cs="Arial"/>
          <w:b/>
          <w:sz w:val="21"/>
          <w:szCs w:val="21"/>
          <w:u w:val="single"/>
          <w:lang w:eastAsia="ja-JP"/>
        </w:rPr>
      </w:pPr>
      <w:r w:rsidRPr="006B0906">
        <w:rPr>
          <w:rFonts w:eastAsia="Arial Unicode MS" w:cs="Arial"/>
          <w:b/>
          <w:sz w:val="21"/>
          <w:szCs w:val="21"/>
          <w:u w:val="single"/>
          <w:lang w:eastAsia="ja-JP"/>
        </w:rPr>
        <w:t xml:space="preserve">For </w:t>
      </w:r>
      <w:r w:rsidRPr="006B0906">
        <w:rPr>
          <w:rFonts w:eastAsia="Arial Unicode MS" w:cs="Arial"/>
          <w:b/>
          <w:sz w:val="21"/>
          <w:szCs w:val="21"/>
          <w:u w:val="single"/>
        </w:rPr>
        <w:t>TDD-TDD intra-band NR-CA</w:t>
      </w:r>
    </w:p>
    <w:p w14:paraId="7DE3A681" w14:textId="77777777" w:rsidR="00756894" w:rsidRDefault="00756894" w:rsidP="00FB3236">
      <w:pPr>
        <w:pBdr>
          <w:top w:val="single" w:sz="4" w:space="1" w:color="auto"/>
          <w:left w:val="single" w:sz="4" w:space="4" w:color="auto"/>
          <w:bottom w:val="single" w:sz="4" w:space="1" w:color="auto"/>
          <w:right w:val="single" w:sz="4" w:space="4" w:color="auto"/>
        </w:pBdr>
        <w:textAlignment w:val="auto"/>
        <w:rPr>
          <w:rFonts w:eastAsia="Arial Unicode MS" w:cs="Arial"/>
          <w:sz w:val="21"/>
          <w:szCs w:val="21"/>
        </w:rPr>
      </w:pPr>
      <w:r w:rsidRPr="0032270B">
        <w:rPr>
          <w:rFonts w:eastAsia="Arial Unicode MS" w:cs="Arial"/>
          <w:sz w:val="21"/>
          <w:szCs w:val="21"/>
        </w:rPr>
        <w:t>This new</w:t>
      </w:r>
      <w:r w:rsidRPr="0032270B">
        <w:rPr>
          <w:rFonts w:cs="Arial"/>
          <w:sz w:val="21"/>
          <w:szCs w:val="21"/>
        </w:rPr>
        <w:t xml:space="preserve"> BS signalling</w:t>
      </w:r>
      <w:r w:rsidRPr="0032270B">
        <w:rPr>
          <w:rFonts w:eastAsia="Arial Unicode MS" w:cs="Arial"/>
          <w:sz w:val="21"/>
          <w:szCs w:val="21"/>
        </w:rPr>
        <w:t xml:space="preserve"> is expected to be applicable for TDD-TDD intra-band NR-CA provided the UE has indicated </w:t>
      </w:r>
      <w:r>
        <w:rPr>
          <w:rFonts w:eastAsia="Arial Unicode MS" w:cs="Arial"/>
          <w:sz w:val="21"/>
          <w:szCs w:val="21"/>
        </w:rPr>
        <w:t>“</w:t>
      </w:r>
      <w:r w:rsidRPr="0032270B">
        <w:rPr>
          <w:rFonts w:eastAsia="Arial Unicode MS" w:cs="Arial"/>
          <w:sz w:val="21"/>
          <w:szCs w:val="21"/>
        </w:rPr>
        <w:t>New UE capability</w:t>
      </w:r>
      <w:r>
        <w:rPr>
          <w:rFonts w:eastAsia="Arial Unicode MS" w:cs="Arial"/>
          <w:sz w:val="21"/>
          <w:szCs w:val="21"/>
        </w:rPr>
        <w:t>”</w:t>
      </w:r>
      <w:r w:rsidRPr="0032270B">
        <w:rPr>
          <w:rFonts w:eastAsia="Arial Unicode MS" w:cs="Arial"/>
          <w:sz w:val="21"/>
          <w:szCs w:val="21"/>
        </w:rPr>
        <w:t>.</w:t>
      </w:r>
    </w:p>
    <w:p w14:paraId="24A0C8D0" w14:textId="7285A266" w:rsidR="00B676BF" w:rsidRDefault="00FB3236" w:rsidP="002F7CEF">
      <w:r>
        <w:rPr>
          <w:rFonts w:hint="eastAsia"/>
        </w:rPr>
        <w:t>W</w:t>
      </w:r>
      <w:r>
        <w:t>hen it comes to the -r16 capability, it seems beneficial to consider backward compatibility.</w:t>
      </w:r>
    </w:p>
    <w:p w14:paraId="1023E3FD" w14:textId="5B786DA1" w:rsidR="00FB3236" w:rsidRDefault="00FB3236" w:rsidP="002F7CEF">
      <w:r>
        <w:rPr>
          <w:rFonts w:hint="eastAsia"/>
        </w:rPr>
        <w:t>If</w:t>
      </w:r>
      <w:r>
        <w:t xml:space="preserve"> the network is </w:t>
      </w:r>
      <w:r w:rsidR="00620B1C">
        <w:t xml:space="preserve">a </w:t>
      </w:r>
      <w:r>
        <w:t xml:space="preserve">legacy network, but the UE is </w:t>
      </w:r>
      <w:r w:rsidR="00620B1C">
        <w:t>new</w:t>
      </w:r>
      <w:r>
        <w:t xml:space="preserve">, then it means the UE will work in the legacy mode, i.e., </w:t>
      </w:r>
    </w:p>
    <w:p w14:paraId="11EE093A" w14:textId="2183905F" w:rsidR="00FB3236" w:rsidRDefault="00FB3236" w:rsidP="00FB3236">
      <w:pPr>
        <w:pStyle w:val="af7"/>
        <w:numPr>
          <w:ilvl w:val="0"/>
          <w:numId w:val="42"/>
        </w:numPr>
      </w:pPr>
      <w:r>
        <w:rPr>
          <w:rFonts w:hint="eastAsia"/>
        </w:rPr>
        <w:t>A</w:t>
      </w:r>
      <w:r>
        <w:t xml:space="preserve">lthough the </w:t>
      </w:r>
      <w:r w:rsidRPr="00016F91">
        <w:rPr>
          <w:i/>
          <w:iCs/>
        </w:rPr>
        <w:t>interBandMRDC-WithOverlapDL-Bands-r16</w:t>
      </w:r>
      <w:r w:rsidRPr="00016F91">
        <w:t xml:space="preserve"> </w:t>
      </w:r>
      <w:r>
        <w:t>is reported</w:t>
      </w:r>
    </w:p>
    <w:p w14:paraId="48D49EC2" w14:textId="44340A47" w:rsidR="00AF3ADB" w:rsidRDefault="00AF3ADB" w:rsidP="00FB3236">
      <w:pPr>
        <w:pStyle w:val="af7"/>
        <w:numPr>
          <w:ilvl w:val="0"/>
          <w:numId w:val="42"/>
        </w:numPr>
      </w:pPr>
      <w:r>
        <w:rPr>
          <w:rFonts w:hint="eastAsia"/>
        </w:rPr>
        <w:t>B</w:t>
      </w:r>
      <w:r>
        <w:t xml:space="preserve">ut there is no BS </w:t>
      </w:r>
      <w:proofErr w:type="spellStart"/>
      <w:r>
        <w:t>signaling</w:t>
      </w:r>
      <w:proofErr w:type="spellEnd"/>
      <w:r>
        <w:t xml:space="preserve"> to differentiate the usage of type-1 and type-</w:t>
      </w:r>
      <w:proofErr w:type="gramStart"/>
      <w:r>
        <w:t>2</w:t>
      </w:r>
      <w:proofErr w:type="gramEnd"/>
    </w:p>
    <w:p w14:paraId="5AEFB8C0" w14:textId="20F90F1A" w:rsidR="00AF3ADB" w:rsidRDefault="00AF3ADB" w:rsidP="00AF3ADB">
      <w:r>
        <w:rPr>
          <w:rFonts w:hint="eastAsia"/>
        </w:rPr>
        <w:t>O</w:t>
      </w:r>
      <w:r>
        <w:t xml:space="preserve">r if the network is </w:t>
      </w:r>
      <w:r w:rsidR="00620B1C">
        <w:t xml:space="preserve">a </w:t>
      </w:r>
      <w:r>
        <w:t xml:space="preserve">new network, but the UE is legacy UE, it means the UE has to work in the new </w:t>
      </w:r>
      <w:proofErr w:type="gramStart"/>
      <w:r>
        <w:t>mode</w:t>
      </w:r>
      <w:proofErr w:type="gramEnd"/>
    </w:p>
    <w:p w14:paraId="12978ABF" w14:textId="3EEF0AC3" w:rsidR="00AF3ADB" w:rsidRDefault="00AF3ADB" w:rsidP="00AF3ADB">
      <w:pPr>
        <w:pStyle w:val="af7"/>
        <w:numPr>
          <w:ilvl w:val="0"/>
          <w:numId w:val="43"/>
        </w:numPr>
      </w:pPr>
      <w:r>
        <w:t xml:space="preserve">The </w:t>
      </w:r>
      <w:r w:rsidR="00016F91" w:rsidRPr="00016F91">
        <w:rPr>
          <w:i/>
          <w:iCs/>
        </w:rPr>
        <w:t>interBandMRDC-WithOverlapDL-Bands-r16</w:t>
      </w:r>
      <w:r w:rsidR="00016F91">
        <w:rPr>
          <w:i/>
          <w:iCs/>
        </w:rPr>
        <w:t xml:space="preserve"> </w:t>
      </w:r>
      <w:r>
        <w:t xml:space="preserve">is </w:t>
      </w:r>
      <w:proofErr w:type="gramStart"/>
      <w:r>
        <w:t>reported</w:t>
      </w:r>
      <w:proofErr w:type="gramEnd"/>
    </w:p>
    <w:p w14:paraId="5AB27755" w14:textId="2AEF619F" w:rsidR="00AF3ADB" w:rsidRDefault="00AF3ADB" w:rsidP="00AF3ADB">
      <w:pPr>
        <w:pStyle w:val="af7"/>
        <w:numPr>
          <w:ilvl w:val="0"/>
          <w:numId w:val="43"/>
        </w:numPr>
      </w:pPr>
      <w:r>
        <w:t xml:space="preserve">And there is no BS </w:t>
      </w:r>
      <w:proofErr w:type="spellStart"/>
      <w:r>
        <w:t>signaling</w:t>
      </w:r>
      <w:proofErr w:type="spellEnd"/>
      <w:r>
        <w:t xml:space="preserve"> to differentiate the usage of type-1 and type-</w:t>
      </w:r>
      <w:proofErr w:type="gramStart"/>
      <w:r>
        <w:t>2</w:t>
      </w:r>
      <w:proofErr w:type="gramEnd"/>
    </w:p>
    <w:p w14:paraId="496D62AD" w14:textId="03A4B86E" w:rsidR="00AF3ADB" w:rsidRDefault="00C305F6" w:rsidP="001466D9">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ind w:left="1701" w:hanging="1701"/>
        <w:textAlignment w:val="auto"/>
      </w:pPr>
      <w:r>
        <w:rPr>
          <w:rFonts w:hint="eastAsia"/>
        </w:rPr>
        <w:t>T</w:t>
      </w:r>
      <w:r>
        <w:t xml:space="preserve">here is a backward compatibility issue for Rel-16 UE </w:t>
      </w:r>
      <w:r w:rsidR="00CB2AA3">
        <w:t>working in Rel-18 network, where the UE</w:t>
      </w:r>
      <w:r>
        <w:t xml:space="preserve"> support</w:t>
      </w:r>
      <w:r w:rsidR="00CB2AA3">
        <w:t xml:space="preserve">s type-2 requirement, but </w:t>
      </w:r>
      <w:r w:rsidR="00620B1C">
        <w:t xml:space="preserve">does </w:t>
      </w:r>
      <w:r w:rsidR="00CB2AA3">
        <w:t xml:space="preserve">not support the new BS </w:t>
      </w:r>
      <w:proofErr w:type="spellStart"/>
      <w:r w:rsidR="00CB2AA3">
        <w:t>signaling</w:t>
      </w:r>
      <w:proofErr w:type="spellEnd"/>
      <w:r w:rsidR="00CB2AA3">
        <w:t>.</w:t>
      </w:r>
    </w:p>
    <w:p w14:paraId="595D7283" w14:textId="61440A95" w:rsidR="00FB3236" w:rsidRDefault="001466D9" w:rsidP="002F7CEF">
      <w:r>
        <w:rPr>
          <w:rFonts w:hint="eastAsia"/>
        </w:rPr>
        <w:t>S</w:t>
      </w:r>
      <w:r>
        <w:t xml:space="preserve">o technically, </w:t>
      </w:r>
      <w:r w:rsidR="007E5626">
        <w:t xml:space="preserve">unless there is no implementation of the r16 inter-band capability in the field, </w:t>
      </w:r>
      <w:r>
        <w:t>there is a need to introduce another capability for the inter-band case, to reflect that the UE support</w:t>
      </w:r>
      <w:r w:rsidR="00620B1C">
        <w:t>s</w:t>
      </w:r>
      <w:r>
        <w:t xml:space="preserve"> the new BS </w:t>
      </w:r>
      <w:proofErr w:type="spellStart"/>
      <w:r>
        <w:t>signaling</w:t>
      </w:r>
      <w:proofErr w:type="spellEnd"/>
      <w:r>
        <w:t>.</w:t>
      </w:r>
    </w:p>
    <w:p w14:paraId="308B5D12" w14:textId="243FC6A3" w:rsidR="001466D9" w:rsidRDefault="00FF2AF9" w:rsidP="00FF2AF9">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46698740"/>
      <w:r>
        <w:t>R2 discus</w:t>
      </w:r>
      <w:r w:rsidR="00620B1C">
        <w:t>se</w:t>
      </w:r>
      <w:r>
        <w:t xml:space="preserve">s the need </w:t>
      </w:r>
      <w:r w:rsidR="00620B1C">
        <w:t>for</w:t>
      </w:r>
      <w:r>
        <w:t xml:space="preserve"> UE capability for inter-band case, to indicate whether the UE support</w:t>
      </w:r>
      <w:r w:rsidR="00620B1C">
        <w:t>s</w:t>
      </w:r>
      <w:r>
        <w:t xml:space="preserve"> the new BS </w:t>
      </w:r>
      <w:proofErr w:type="spellStart"/>
      <w:r>
        <w:t>signaling</w:t>
      </w:r>
      <w:proofErr w:type="spellEnd"/>
      <w:r>
        <w:t xml:space="preserve"> for (non-)collocated scenario (i.e., </w:t>
      </w:r>
      <w:proofErr w:type="gramStart"/>
      <w:r>
        <w:t>type-1</w:t>
      </w:r>
      <w:proofErr w:type="gramEnd"/>
      <w:r>
        <w:t>/2 requirement) differentiation.</w:t>
      </w:r>
      <w:bookmarkEnd w:id="6"/>
    </w:p>
    <w:p w14:paraId="724711FD" w14:textId="401A48AC" w:rsidR="00CB2AA3" w:rsidRDefault="00FF2AF9" w:rsidP="002F7CEF">
      <w:r>
        <w:t>On the other hand, if one believes there is a case that UE supporting both type-1/2 requirement</w:t>
      </w:r>
      <w:r w:rsidR="00620B1C">
        <w:t>s</w:t>
      </w:r>
      <w:r>
        <w:t xml:space="preserve">, for </w:t>
      </w:r>
      <w:r w:rsidR="00620B1C">
        <w:t xml:space="preserve">the </w:t>
      </w:r>
      <w:r>
        <w:t xml:space="preserve">inter-band scenario, works without BS </w:t>
      </w:r>
      <w:proofErr w:type="spellStart"/>
      <w:r>
        <w:t>signaling</w:t>
      </w:r>
      <w:proofErr w:type="spellEnd"/>
      <w:r>
        <w:t xml:space="preserve">, i.e., the legacy UE supporting </w:t>
      </w:r>
      <w:r w:rsidR="00016F91" w:rsidRPr="00016F91">
        <w:rPr>
          <w:i/>
          <w:iCs/>
        </w:rPr>
        <w:t>interBandMRDC-WithOverlapDL-Bands-r16</w:t>
      </w:r>
      <w:r w:rsidRPr="00FF2AF9">
        <w:t xml:space="preserve">, </w:t>
      </w:r>
      <w:r>
        <w:t xml:space="preserve">it is questionable whether the UE supporting the new intra-band type-1/2 related capability, can work without BS </w:t>
      </w:r>
      <w:proofErr w:type="spellStart"/>
      <w:r>
        <w:t>signaling</w:t>
      </w:r>
      <w:proofErr w:type="spellEnd"/>
      <w:r>
        <w:t>.</w:t>
      </w:r>
    </w:p>
    <w:p w14:paraId="4B972678" w14:textId="4B62B85D" w:rsidR="00FF2AF9" w:rsidRPr="00FF2AF9" w:rsidRDefault="00FF2AF9" w:rsidP="00016F9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46698741"/>
      <w:r>
        <w:rPr>
          <w:rFonts w:hint="eastAsia"/>
        </w:rPr>
        <w:lastRenderedPageBreak/>
        <w:t>R</w:t>
      </w:r>
      <w:r>
        <w:t>2 discus</w:t>
      </w:r>
      <w:r w:rsidR="00620B1C">
        <w:t>se</w:t>
      </w:r>
      <w:r>
        <w:t xml:space="preserve">s whether the BS </w:t>
      </w:r>
      <w:proofErr w:type="spellStart"/>
      <w:r>
        <w:t>signaling</w:t>
      </w:r>
      <w:proofErr w:type="spellEnd"/>
      <w:r>
        <w:t xml:space="preserve"> is mandatorily present, for the intra-band case, to differentiate (non-)collocated scenario (i.e., type-1/2 requirement)</w:t>
      </w:r>
      <w:r w:rsidR="00016F91">
        <w:t>, for UE supporting both type-1/2 requirements.</w:t>
      </w:r>
      <w:bookmarkEnd w:id="7"/>
    </w:p>
    <w:p w14:paraId="0C6C04A5" w14:textId="2C91DB9A" w:rsidR="00E44203" w:rsidRPr="00784EBA" w:rsidRDefault="00E44203" w:rsidP="00784EBA">
      <w:bookmarkStart w:id="8" w:name="_Toc145585976"/>
      <w:bookmarkStart w:id="9" w:name="_Toc130285439"/>
      <w:bookmarkStart w:id="10" w:name="_Toc130285440"/>
      <w:bookmarkStart w:id="11" w:name="_Toc130285457"/>
      <w:bookmarkStart w:id="12" w:name="_Toc130285467"/>
      <w:bookmarkStart w:id="13" w:name="_Toc130285468"/>
      <w:bookmarkStart w:id="14" w:name="_Toc130285478"/>
      <w:bookmarkStart w:id="15" w:name="_Toc130285494"/>
      <w:bookmarkStart w:id="16" w:name="_Toc130285510"/>
      <w:bookmarkStart w:id="17" w:name="_Toc130285526"/>
      <w:bookmarkStart w:id="18" w:name="_Toc130285542"/>
      <w:bookmarkStart w:id="19" w:name="_Toc130285552"/>
      <w:bookmarkStart w:id="20" w:name="_Toc130285553"/>
      <w:bookmarkStart w:id="21" w:name="_Toc130285554"/>
      <w:bookmarkStart w:id="22" w:name="_Toc130285555"/>
      <w:bookmarkStart w:id="23" w:name="_Toc130285556"/>
      <w:bookmarkStart w:id="24" w:name="_Toc130285557"/>
      <w:bookmarkStart w:id="25" w:name="_Toc130285558"/>
      <w:bookmarkStart w:id="26" w:name="_Toc130285566"/>
      <w:bookmarkStart w:id="27" w:name="_Toc130285567"/>
      <w:bookmarkStart w:id="28" w:name="_Toc130285568"/>
      <w:bookmarkStart w:id="29" w:name="_Toc130285569"/>
      <w:bookmarkStart w:id="30" w:name="_Toc130285570"/>
      <w:bookmarkStart w:id="31" w:name="_Toc130285571"/>
      <w:bookmarkStart w:id="32" w:name="_Toc130285572"/>
      <w:bookmarkStart w:id="33" w:name="_Toc130285573"/>
      <w:bookmarkStart w:id="34" w:name="_Toc130285574"/>
      <w:bookmarkStart w:id="35" w:name="_Toc130285575"/>
      <w:bookmarkStart w:id="36" w:name="_Toc130285588"/>
      <w:bookmarkStart w:id="37" w:name="_Toc130285589"/>
      <w:bookmarkStart w:id="38" w:name="_Toc130285590"/>
      <w:bookmarkStart w:id="39" w:name="_Toc130285591"/>
      <w:bookmarkStart w:id="40" w:name="_Toc130285592"/>
      <w:bookmarkStart w:id="41" w:name="_Toc130285593"/>
      <w:bookmarkStart w:id="42" w:name="_Toc130285594"/>
      <w:bookmarkStart w:id="43" w:name="_Toc130285595"/>
      <w:bookmarkStart w:id="44" w:name="_Toc130285596"/>
      <w:bookmarkStart w:id="45" w:name="_Toc130285597"/>
      <w:bookmarkStart w:id="46" w:name="_Toc130285598"/>
      <w:bookmarkStart w:id="47" w:name="_Toc130285599"/>
      <w:bookmarkStart w:id="48" w:name="_Toc130285600"/>
      <w:bookmarkStart w:id="49" w:name="_Toc130285601"/>
      <w:bookmarkStart w:id="50" w:name="_Toc130285602"/>
      <w:bookmarkStart w:id="51" w:name="_Toc130285603"/>
      <w:bookmarkStart w:id="52" w:name="_Toc130285604"/>
      <w:bookmarkStart w:id="53" w:name="_Toc130285605"/>
      <w:bookmarkStart w:id="54" w:name="_Toc130285606"/>
      <w:bookmarkStart w:id="55" w:name="_Toc130285607"/>
      <w:bookmarkStart w:id="56" w:name="_Toc130285608"/>
      <w:bookmarkStart w:id="57" w:name="_Toc130285609"/>
      <w:bookmarkStart w:id="58" w:name="_Toc130285610"/>
      <w:bookmarkStart w:id="59" w:name="_Toc130285611"/>
      <w:bookmarkStart w:id="60" w:name="_Toc130285612"/>
      <w:bookmarkStart w:id="61" w:name="_Toc130285613"/>
      <w:bookmarkStart w:id="62" w:name="_Toc130285614"/>
      <w:bookmarkStart w:id="63" w:name="_Toc130285615"/>
      <w:bookmarkStart w:id="64" w:name="_Toc122613820"/>
      <w:bookmarkStart w:id="65" w:name="_Toc122614375"/>
      <w:bookmarkStart w:id="66" w:name="_Toc122613821"/>
      <w:bookmarkStart w:id="67" w:name="_Toc122614376"/>
      <w:bookmarkStart w:id="68" w:name="_Toc122613822"/>
      <w:bookmarkStart w:id="69" w:name="_Toc122614377"/>
      <w:bookmarkStart w:id="70" w:name="_Toc122613823"/>
      <w:bookmarkStart w:id="71" w:name="_Toc122614378"/>
      <w:bookmarkStart w:id="72" w:name="_Toc122613824"/>
      <w:bookmarkStart w:id="73" w:name="_Toc122614379"/>
      <w:bookmarkStart w:id="74" w:name="_Toc122613825"/>
      <w:bookmarkStart w:id="75" w:name="_Toc122614380"/>
      <w:bookmarkStart w:id="76" w:name="_Toc122613826"/>
      <w:bookmarkStart w:id="77" w:name="_Toc122614381"/>
      <w:bookmarkStart w:id="78" w:name="_Toc122613827"/>
      <w:bookmarkStart w:id="79" w:name="_Toc122614382"/>
      <w:bookmarkStart w:id="80" w:name="_Toc122613828"/>
      <w:bookmarkStart w:id="81" w:name="_Toc122614383"/>
      <w:bookmarkStart w:id="82" w:name="_Toc122613829"/>
      <w:bookmarkStart w:id="83" w:name="_Toc122614384"/>
      <w:bookmarkStart w:id="84" w:name="_Toc122613830"/>
      <w:bookmarkStart w:id="85" w:name="_Toc122614385"/>
      <w:bookmarkStart w:id="86" w:name="_Toc122613831"/>
      <w:bookmarkStart w:id="87" w:name="_Toc122614386"/>
      <w:bookmarkStart w:id="88" w:name="_Toc122613832"/>
      <w:bookmarkStart w:id="89" w:name="_Toc122614387"/>
      <w:bookmarkStart w:id="90" w:name="_Toc122613833"/>
      <w:bookmarkStart w:id="91" w:name="_Toc122614388"/>
      <w:bookmarkStart w:id="92" w:name="_Toc122613834"/>
      <w:bookmarkStart w:id="93" w:name="_Toc12261438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21B23D8" w14:textId="77777777" w:rsidR="00D0573B" w:rsidRDefault="00D0573B">
      <w:pPr>
        <w:pStyle w:val="1"/>
      </w:pPr>
      <w:r>
        <w:t>Conclusion</w:t>
      </w:r>
    </w:p>
    <w:p w14:paraId="363AC2BA" w14:textId="293756F6" w:rsidR="00D0573B" w:rsidRDefault="00D0573B">
      <w:r>
        <w:t>We have the following proposals:</w:t>
      </w:r>
    </w:p>
    <w:p w14:paraId="20798885" w14:textId="3AD34536" w:rsidR="00620B1C" w:rsidRDefault="00D0573B">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46698740" w:history="1">
        <w:r w:rsidR="00620B1C" w:rsidRPr="0085629F">
          <w:rPr>
            <w:rStyle w:val="a5"/>
            <w:noProof/>
          </w:rPr>
          <w:t>Proposal 1</w:t>
        </w:r>
        <w:r w:rsidR="00620B1C">
          <w:rPr>
            <w:rFonts w:asciiTheme="minorHAnsi" w:eastAsiaTheme="minorEastAsia" w:hAnsiTheme="minorHAnsi" w:cstheme="minorBidi"/>
            <w:b w:val="0"/>
            <w:noProof/>
            <w:kern w:val="2"/>
            <w:sz w:val="21"/>
            <w14:ligatures w14:val="standardContextual"/>
          </w:rPr>
          <w:tab/>
        </w:r>
        <w:r w:rsidR="00620B1C" w:rsidRPr="0085629F">
          <w:rPr>
            <w:rStyle w:val="a5"/>
            <w:noProof/>
          </w:rPr>
          <w:t>R2 discusses the need for UE capability for inter-band case, to indicate whether the UE supports the new BS signaling for (non-)collocated scenario (i.e., type-1/2 requirement) differentiation.</w:t>
        </w:r>
      </w:hyperlink>
    </w:p>
    <w:p w14:paraId="71772909" w14:textId="2FA5F2F5" w:rsidR="00620B1C" w:rsidRDefault="00620B1C">
      <w:pPr>
        <w:pStyle w:val="TOC1"/>
        <w:rPr>
          <w:rFonts w:asciiTheme="minorHAnsi" w:eastAsiaTheme="minorEastAsia" w:hAnsiTheme="minorHAnsi" w:cstheme="minorBidi"/>
          <w:b w:val="0"/>
          <w:noProof/>
          <w:kern w:val="2"/>
          <w:sz w:val="21"/>
          <w14:ligatures w14:val="standardContextual"/>
        </w:rPr>
      </w:pPr>
      <w:hyperlink w:anchor="_Toc146698741" w:history="1">
        <w:r w:rsidRPr="0085629F">
          <w:rPr>
            <w:rStyle w:val="a5"/>
            <w:noProof/>
          </w:rPr>
          <w:t>Proposal 2</w:t>
        </w:r>
        <w:r>
          <w:rPr>
            <w:rFonts w:asciiTheme="minorHAnsi" w:eastAsiaTheme="minorEastAsia" w:hAnsiTheme="minorHAnsi" w:cstheme="minorBidi"/>
            <w:b w:val="0"/>
            <w:noProof/>
            <w:kern w:val="2"/>
            <w:sz w:val="21"/>
            <w14:ligatures w14:val="standardContextual"/>
          </w:rPr>
          <w:tab/>
        </w:r>
        <w:r w:rsidRPr="0085629F">
          <w:rPr>
            <w:rStyle w:val="a5"/>
            <w:noProof/>
          </w:rPr>
          <w:t>R2 discusses whether the BS signaling is mandatorily present, for the intra-band case, to differentiate (non-)collocated scenario (i.e., type-1/2 requirement), for UE supporting both type-1/2 requirements.</w:t>
        </w:r>
      </w:hyperlink>
    </w:p>
    <w:p w14:paraId="2F566ED3" w14:textId="036E2C7E" w:rsidR="00D0573B" w:rsidRDefault="00D0573B">
      <w:pPr>
        <w:rPr>
          <w:b/>
          <w:bCs/>
        </w:rPr>
      </w:pPr>
      <w:r>
        <w:fldChar w:fldCharType="end"/>
      </w:r>
    </w:p>
    <w:p w14:paraId="5CC13316" w14:textId="77777777" w:rsidR="001170CE" w:rsidRDefault="001170CE" w:rsidP="001170CE">
      <w:pPr>
        <w:rPr>
          <w:lang w:val="en-US"/>
        </w:rPr>
      </w:pPr>
      <w:bookmarkStart w:id="94" w:name="_In-sequence_SDU_delivery"/>
      <w:bookmarkEnd w:id="94"/>
    </w:p>
    <w:p w14:paraId="69F6FEC8" w14:textId="77777777" w:rsidR="001170CE" w:rsidRPr="001170CE" w:rsidRDefault="001170CE" w:rsidP="00713C06">
      <w:pPr>
        <w:rPr>
          <w:lang w:val="en-US"/>
        </w:rPr>
      </w:pPr>
      <w:bookmarkStart w:id="95" w:name="Title"/>
      <w:bookmarkStart w:id="96" w:name="DocumentFor"/>
      <w:bookmarkStart w:id="97" w:name="_Hlk40295327"/>
      <w:bookmarkEnd w:id="95"/>
      <w:bookmarkEnd w:id="96"/>
      <w:bookmarkEnd w:id="97"/>
    </w:p>
    <w:sectPr w:rsidR="001170CE" w:rsidRPr="001170C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63761" w14:textId="77777777" w:rsidR="004A1331" w:rsidRDefault="004A1331">
      <w:pPr>
        <w:spacing w:after="0"/>
      </w:pPr>
      <w:r>
        <w:separator/>
      </w:r>
    </w:p>
  </w:endnote>
  <w:endnote w:type="continuationSeparator" w:id="0">
    <w:p w14:paraId="54A3ED83" w14:textId="77777777" w:rsidR="004A1331" w:rsidRDefault="004A13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B00C2" w14:textId="77777777" w:rsidR="004A1331" w:rsidRDefault="004A1331">
      <w:pPr>
        <w:spacing w:after="0"/>
      </w:pPr>
      <w:r>
        <w:separator/>
      </w:r>
    </w:p>
  </w:footnote>
  <w:footnote w:type="continuationSeparator" w:id="0">
    <w:p w14:paraId="4C1DF8A8" w14:textId="77777777" w:rsidR="004A1331" w:rsidRDefault="004A13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8C9"/>
    <w:multiLevelType w:val="hybridMultilevel"/>
    <w:tmpl w:val="4BCEA0BA"/>
    <w:lvl w:ilvl="0" w:tplc="0270CF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F2092"/>
    <w:multiLevelType w:val="hybridMultilevel"/>
    <w:tmpl w:val="F830DA42"/>
    <w:lvl w:ilvl="0" w:tplc="A33EEE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1503EA1"/>
    <w:multiLevelType w:val="hybridMultilevel"/>
    <w:tmpl w:val="486E2A10"/>
    <w:lvl w:ilvl="0" w:tplc="A8D437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C7841C5"/>
    <w:multiLevelType w:val="hybridMultilevel"/>
    <w:tmpl w:val="D9563D78"/>
    <w:lvl w:ilvl="0" w:tplc="5EC2AD3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004365C"/>
    <w:multiLevelType w:val="hybridMultilevel"/>
    <w:tmpl w:val="58DEC6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F35883"/>
    <w:multiLevelType w:val="hybridMultilevel"/>
    <w:tmpl w:val="0BD2C350"/>
    <w:lvl w:ilvl="0" w:tplc="289680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6D5388F"/>
    <w:multiLevelType w:val="hybridMultilevel"/>
    <w:tmpl w:val="AB9E77B4"/>
    <w:lvl w:ilvl="0" w:tplc="82324F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CC3CDB"/>
    <w:multiLevelType w:val="hybridMultilevel"/>
    <w:tmpl w:val="2A72DD62"/>
    <w:lvl w:ilvl="0" w:tplc="CCD47A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50B3259"/>
    <w:multiLevelType w:val="hybridMultilevel"/>
    <w:tmpl w:val="1A64DA72"/>
    <w:lvl w:ilvl="0" w:tplc="F2D0CD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6" w15:restartNumberingAfterBreak="0">
    <w:nsid w:val="697C7615"/>
    <w:multiLevelType w:val="hybridMultilevel"/>
    <w:tmpl w:val="5D389430"/>
    <w:lvl w:ilvl="0" w:tplc="B79A2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6A226ACE"/>
    <w:multiLevelType w:val="hybridMultilevel"/>
    <w:tmpl w:val="0BD2C3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0" w15:restartNumberingAfterBreak="0">
    <w:nsid w:val="78093092"/>
    <w:multiLevelType w:val="hybridMultilevel"/>
    <w:tmpl w:val="9B9658F0"/>
    <w:lvl w:ilvl="0" w:tplc="3FFE78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1"/>
  </w:num>
  <w:num w:numId="2" w16cid:durableId="2106264344">
    <w:abstractNumId w:val="21"/>
  </w:num>
  <w:num w:numId="3" w16cid:durableId="2058772509">
    <w:abstractNumId w:val="9"/>
  </w:num>
  <w:num w:numId="4" w16cid:durableId="1657027614">
    <w:abstractNumId w:val="17"/>
  </w:num>
  <w:num w:numId="5" w16cid:durableId="42143930">
    <w:abstractNumId w:val="8"/>
  </w:num>
  <w:num w:numId="6" w16cid:durableId="1820419331">
    <w:abstractNumId w:val="15"/>
  </w:num>
  <w:num w:numId="7" w16cid:durableId="2143577212">
    <w:abstractNumId w:val="14"/>
  </w:num>
  <w:num w:numId="8" w16cid:durableId="908924519">
    <w:abstractNumId w:val="19"/>
  </w:num>
  <w:num w:numId="9" w16cid:durableId="854926270">
    <w:abstractNumId w:val="32"/>
  </w:num>
  <w:num w:numId="10" w16cid:durableId="1525249853">
    <w:abstractNumId w:val="20"/>
  </w:num>
  <w:num w:numId="11" w16cid:durableId="863907421">
    <w:abstractNumId w:val="31"/>
  </w:num>
  <w:num w:numId="12" w16cid:durableId="1569801296">
    <w:abstractNumId w:val="23"/>
  </w:num>
  <w:num w:numId="13" w16cid:durableId="832069413">
    <w:abstractNumId w:val="28"/>
  </w:num>
  <w:num w:numId="14" w16cid:durableId="663819975">
    <w:abstractNumId w:val="18"/>
  </w:num>
  <w:num w:numId="15" w16cid:durableId="1186401110">
    <w:abstractNumId w:val="11"/>
  </w:num>
  <w:num w:numId="16" w16cid:durableId="1774402544">
    <w:abstractNumId w:val="2"/>
  </w:num>
  <w:num w:numId="17" w16cid:durableId="1099176735">
    <w:abstractNumId w:val="25"/>
  </w:num>
  <w:num w:numId="18" w16cid:durableId="1655523606">
    <w:abstractNumId w:val="22"/>
  </w:num>
  <w:num w:numId="19" w16cid:durableId="695739312">
    <w:abstractNumId w:val="3"/>
  </w:num>
  <w:num w:numId="20" w16cid:durableId="460418384">
    <w:abstractNumId w:val="30"/>
  </w:num>
  <w:num w:numId="21" w16cid:durableId="763963201">
    <w:abstractNumId w:val="1"/>
  </w:num>
  <w:num w:numId="22" w16cid:durableId="1437946529">
    <w:abstractNumId w:val="1"/>
  </w:num>
  <w:num w:numId="23" w16cid:durableId="309099874">
    <w:abstractNumId w:val="26"/>
  </w:num>
  <w:num w:numId="24" w16cid:durableId="1091856562">
    <w:abstractNumId w:val="7"/>
  </w:num>
  <w:num w:numId="25" w16cid:durableId="746147680">
    <w:abstractNumId w:val="1"/>
  </w:num>
  <w:num w:numId="26" w16cid:durableId="1326741722">
    <w:abstractNumId w:val="10"/>
  </w:num>
  <w:num w:numId="27" w16cid:durableId="273829240">
    <w:abstractNumId w:val="29"/>
  </w:num>
  <w:num w:numId="28" w16cid:durableId="1638488299">
    <w:abstractNumId w:val="1"/>
  </w:num>
  <w:num w:numId="29" w16cid:durableId="773591644">
    <w:abstractNumId w:val="1"/>
  </w:num>
  <w:num w:numId="30" w16cid:durableId="1915433355">
    <w:abstractNumId w:val="5"/>
  </w:num>
  <w:num w:numId="31" w16cid:durableId="1078291263">
    <w:abstractNumId w:val="6"/>
  </w:num>
  <w:num w:numId="32" w16cid:durableId="53890862">
    <w:abstractNumId w:val="4"/>
  </w:num>
  <w:num w:numId="33" w16cid:durableId="2089183895">
    <w:abstractNumId w:val="0"/>
  </w:num>
  <w:num w:numId="34" w16cid:durableId="600841295">
    <w:abstractNumId w:val="19"/>
  </w:num>
  <w:num w:numId="35" w16cid:durableId="1962805845">
    <w:abstractNumId w:val="19"/>
  </w:num>
  <w:num w:numId="36" w16cid:durableId="633406594">
    <w:abstractNumId w:val="19"/>
  </w:num>
  <w:num w:numId="37" w16cid:durableId="857932341">
    <w:abstractNumId w:val="16"/>
  </w:num>
  <w:num w:numId="38" w16cid:durableId="1570651271">
    <w:abstractNumId w:val="19"/>
  </w:num>
  <w:num w:numId="39" w16cid:durableId="755975562">
    <w:abstractNumId w:val="24"/>
  </w:num>
  <w:num w:numId="40" w16cid:durableId="631403479">
    <w:abstractNumId w:val="13"/>
  </w:num>
  <w:num w:numId="41" w16cid:durableId="1798833756">
    <w:abstractNumId w:val="19"/>
  </w:num>
  <w:num w:numId="42" w16cid:durableId="915671397">
    <w:abstractNumId w:val="12"/>
  </w:num>
  <w:num w:numId="43" w16cid:durableId="616177569">
    <w:abstractNumId w:val="27"/>
  </w:num>
  <w:num w:numId="44" w16cid:durableId="121389819">
    <w:abstractNumId w:val="19"/>
  </w:num>
  <w:num w:numId="45" w16cid:durableId="209146455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6sFAMKxVXktAAAA"/>
  </w:docVars>
  <w:rsids>
    <w:rsidRoot w:val="002804D3"/>
    <w:rsid w:val="000006E1"/>
    <w:rsid w:val="00000EBA"/>
    <w:rsid w:val="000013AA"/>
    <w:rsid w:val="00001757"/>
    <w:rsid w:val="00001D15"/>
    <w:rsid w:val="00002230"/>
    <w:rsid w:val="00002A37"/>
    <w:rsid w:val="00002F51"/>
    <w:rsid w:val="000046E3"/>
    <w:rsid w:val="00004B2A"/>
    <w:rsid w:val="0000543D"/>
    <w:rsid w:val="00005F6E"/>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16F91"/>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B71"/>
    <w:rsid w:val="00073DFC"/>
    <w:rsid w:val="0007444F"/>
    <w:rsid w:val="0007620B"/>
    <w:rsid w:val="00077E5F"/>
    <w:rsid w:val="00080236"/>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590"/>
    <w:rsid w:val="000A488C"/>
    <w:rsid w:val="000A56F2"/>
    <w:rsid w:val="000A69D3"/>
    <w:rsid w:val="000A712A"/>
    <w:rsid w:val="000A7721"/>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6F69"/>
    <w:rsid w:val="000C7506"/>
    <w:rsid w:val="000D0D07"/>
    <w:rsid w:val="000D0FF6"/>
    <w:rsid w:val="000D2904"/>
    <w:rsid w:val="000D2D12"/>
    <w:rsid w:val="000D316B"/>
    <w:rsid w:val="000D3FD1"/>
    <w:rsid w:val="000D4797"/>
    <w:rsid w:val="000D4BD7"/>
    <w:rsid w:val="000D653E"/>
    <w:rsid w:val="000D67B4"/>
    <w:rsid w:val="000E018D"/>
    <w:rsid w:val="000E0527"/>
    <w:rsid w:val="000E160A"/>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3D17"/>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6D9"/>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2"/>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6F5B"/>
    <w:rsid w:val="001879F0"/>
    <w:rsid w:val="00190AC1"/>
    <w:rsid w:val="00191193"/>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C21"/>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464"/>
    <w:rsid w:val="001E4A3A"/>
    <w:rsid w:val="001E4AA5"/>
    <w:rsid w:val="001E567A"/>
    <w:rsid w:val="001E58E2"/>
    <w:rsid w:val="001E7AED"/>
    <w:rsid w:val="001F0CCF"/>
    <w:rsid w:val="001F314D"/>
    <w:rsid w:val="001F3916"/>
    <w:rsid w:val="001F3DC2"/>
    <w:rsid w:val="001F54C5"/>
    <w:rsid w:val="001F6031"/>
    <w:rsid w:val="001F6452"/>
    <w:rsid w:val="001F6563"/>
    <w:rsid w:val="001F662C"/>
    <w:rsid w:val="001F7074"/>
    <w:rsid w:val="001F7212"/>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861"/>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1E0"/>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0BE5"/>
    <w:rsid w:val="002D269B"/>
    <w:rsid w:val="002D34B2"/>
    <w:rsid w:val="002D36C3"/>
    <w:rsid w:val="002D3825"/>
    <w:rsid w:val="002D410F"/>
    <w:rsid w:val="002D440F"/>
    <w:rsid w:val="002D485A"/>
    <w:rsid w:val="002D496E"/>
    <w:rsid w:val="002D5BE9"/>
    <w:rsid w:val="002D733F"/>
    <w:rsid w:val="002D7637"/>
    <w:rsid w:val="002E0D2D"/>
    <w:rsid w:val="002E178A"/>
    <w:rsid w:val="002E17F2"/>
    <w:rsid w:val="002E2BF2"/>
    <w:rsid w:val="002E2EF6"/>
    <w:rsid w:val="002E3600"/>
    <w:rsid w:val="002E3957"/>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2F7CEF"/>
    <w:rsid w:val="00300832"/>
    <w:rsid w:val="00301804"/>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0EDA"/>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7E0"/>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331"/>
    <w:rsid w:val="004A16BC"/>
    <w:rsid w:val="004A1BB2"/>
    <w:rsid w:val="004A2B94"/>
    <w:rsid w:val="004A318F"/>
    <w:rsid w:val="004A3D72"/>
    <w:rsid w:val="004A4DB9"/>
    <w:rsid w:val="004A55C5"/>
    <w:rsid w:val="004A64FA"/>
    <w:rsid w:val="004B09A0"/>
    <w:rsid w:val="004B1FA5"/>
    <w:rsid w:val="004B254E"/>
    <w:rsid w:val="004B2B6D"/>
    <w:rsid w:val="004B32A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0B56"/>
    <w:rsid w:val="004E108B"/>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85"/>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C92"/>
    <w:rsid w:val="00585C94"/>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2F5"/>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B1C"/>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190"/>
    <w:rsid w:val="0069337E"/>
    <w:rsid w:val="00694F88"/>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49AF"/>
    <w:rsid w:val="006C5EC9"/>
    <w:rsid w:val="006C6028"/>
    <w:rsid w:val="006C6059"/>
    <w:rsid w:val="006C6949"/>
    <w:rsid w:val="006C7522"/>
    <w:rsid w:val="006D04D1"/>
    <w:rsid w:val="006D47BE"/>
    <w:rsid w:val="006D4C6B"/>
    <w:rsid w:val="006D504F"/>
    <w:rsid w:val="006D5DC1"/>
    <w:rsid w:val="006D5E56"/>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C06"/>
    <w:rsid w:val="00713D85"/>
    <w:rsid w:val="00713DFC"/>
    <w:rsid w:val="007148D3"/>
    <w:rsid w:val="00715B9A"/>
    <w:rsid w:val="007165ED"/>
    <w:rsid w:val="00720551"/>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1C99"/>
    <w:rsid w:val="00753D8E"/>
    <w:rsid w:val="007540F3"/>
    <w:rsid w:val="007567F5"/>
    <w:rsid w:val="00756894"/>
    <w:rsid w:val="007571E1"/>
    <w:rsid w:val="00757A3E"/>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29"/>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03A"/>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626"/>
    <w:rsid w:val="007E5EFF"/>
    <w:rsid w:val="007E7091"/>
    <w:rsid w:val="007E736D"/>
    <w:rsid w:val="007E7F7C"/>
    <w:rsid w:val="007F0913"/>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682E"/>
    <w:rsid w:val="00827B8B"/>
    <w:rsid w:val="00827D6F"/>
    <w:rsid w:val="00830DCF"/>
    <w:rsid w:val="008326D2"/>
    <w:rsid w:val="00832EE6"/>
    <w:rsid w:val="00833061"/>
    <w:rsid w:val="0083488B"/>
    <w:rsid w:val="0083529D"/>
    <w:rsid w:val="00835942"/>
    <w:rsid w:val="008362D1"/>
    <w:rsid w:val="008376AC"/>
    <w:rsid w:val="00837FF8"/>
    <w:rsid w:val="00840482"/>
    <w:rsid w:val="00840847"/>
    <w:rsid w:val="008412EA"/>
    <w:rsid w:val="0084391E"/>
    <w:rsid w:val="008444E8"/>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08A"/>
    <w:rsid w:val="00886144"/>
    <w:rsid w:val="00886724"/>
    <w:rsid w:val="008869F8"/>
    <w:rsid w:val="00886E16"/>
    <w:rsid w:val="008876E4"/>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A03"/>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56F0"/>
    <w:rsid w:val="00916079"/>
    <w:rsid w:val="00917CE9"/>
    <w:rsid w:val="00920777"/>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A77F2"/>
    <w:rsid w:val="009B0E0E"/>
    <w:rsid w:val="009B1F30"/>
    <w:rsid w:val="009B246F"/>
    <w:rsid w:val="009B33E5"/>
    <w:rsid w:val="009B3AC2"/>
    <w:rsid w:val="009B3F2D"/>
    <w:rsid w:val="009B4294"/>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5659"/>
    <w:rsid w:val="009E6956"/>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04B"/>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CCE"/>
    <w:rsid w:val="00A52D50"/>
    <w:rsid w:val="00A52E1D"/>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2E10"/>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69"/>
    <w:rsid w:val="00AE6A73"/>
    <w:rsid w:val="00AF0506"/>
    <w:rsid w:val="00AF0508"/>
    <w:rsid w:val="00AF1C5D"/>
    <w:rsid w:val="00AF221E"/>
    <w:rsid w:val="00AF2B22"/>
    <w:rsid w:val="00AF3ADB"/>
    <w:rsid w:val="00AF3C0D"/>
    <w:rsid w:val="00AF3EE4"/>
    <w:rsid w:val="00AF42D7"/>
    <w:rsid w:val="00AF457F"/>
    <w:rsid w:val="00AF5157"/>
    <w:rsid w:val="00AF78ED"/>
    <w:rsid w:val="00AF7B02"/>
    <w:rsid w:val="00B006FE"/>
    <w:rsid w:val="00B00732"/>
    <w:rsid w:val="00B007CB"/>
    <w:rsid w:val="00B00AAB"/>
    <w:rsid w:val="00B00F50"/>
    <w:rsid w:val="00B02AA9"/>
    <w:rsid w:val="00B02FA3"/>
    <w:rsid w:val="00B02FF3"/>
    <w:rsid w:val="00B03302"/>
    <w:rsid w:val="00B03E30"/>
    <w:rsid w:val="00B05084"/>
    <w:rsid w:val="00B05E98"/>
    <w:rsid w:val="00B07DD7"/>
    <w:rsid w:val="00B101E0"/>
    <w:rsid w:val="00B10E4C"/>
    <w:rsid w:val="00B130C7"/>
    <w:rsid w:val="00B132D1"/>
    <w:rsid w:val="00B133AE"/>
    <w:rsid w:val="00B133D4"/>
    <w:rsid w:val="00B1435A"/>
    <w:rsid w:val="00B154CD"/>
    <w:rsid w:val="00B157F9"/>
    <w:rsid w:val="00B16463"/>
    <w:rsid w:val="00B1653D"/>
    <w:rsid w:val="00B179AB"/>
    <w:rsid w:val="00B20256"/>
    <w:rsid w:val="00B20D09"/>
    <w:rsid w:val="00B21270"/>
    <w:rsid w:val="00B2167A"/>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3FCB"/>
    <w:rsid w:val="00B445BC"/>
    <w:rsid w:val="00B446EA"/>
    <w:rsid w:val="00B44EA9"/>
    <w:rsid w:val="00B45A52"/>
    <w:rsid w:val="00B46175"/>
    <w:rsid w:val="00B475E2"/>
    <w:rsid w:val="00B52E5B"/>
    <w:rsid w:val="00B5336F"/>
    <w:rsid w:val="00B536D4"/>
    <w:rsid w:val="00B53A00"/>
    <w:rsid w:val="00B54340"/>
    <w:rsid w:val="00B555C1"/>
    <w:rsid w:val="00B61138"/>
    <w:rsid w:val="00B61478"/>
    <w:rsid w:val="00B61834"/>
    <w:rsid w:val="00B61E49"/>
    <w:rsid w:val="00B6253B"/>
    <w:rsid w:val="00B6329B"/>
    <w:rsid w:val="00B63A04"/>
    <w:rsid w:val="00B6408C"/>
    <w:rsid w:val="00B65587"/>
    <w:rsid w:val="00B664C7"/>
    <w:rsid w:val="00B66605"/>
    <w:rsid w:val="00B66832"/>
    <w:rsid w:val="00B676BF"/>
    <w:rsid w:val="00B70C3B"/>
    <w:rsid w:val="00B70D31"/>
    <w:rsid w:val="00B71CD8"/>
    <w:rsid w:val="00B720BF"/>
    <w:rsid w:val="00B721AA"/>
    <w:rsid w:val="00B72D53"/>
    <w:rsid w:val="00B72E1E"/>
    <w:rsid w:val="00B72F0A"/>
    <w:rsid w:val="00B739F6"/>
    <w:rsid w:val="00B74292"/>
    <w:rsid w:val="00B74909"/>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BFD"/>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2C"/>
    <w:rsid w:val="00C015F1"/>
    <w:rsid w:val="00C01F33"/>
    <w:rsid w:val="00C02CC6"/>
    <w:rsid w:val="00C032F1"/>
    <w:rsid w:val="00C040F7"/>
    <w:rsid w:val="00C044AB"/>
    <w:rsid w:val="00C044DB"/>
    <w:rsid w:val="00C04FD7"/>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05F6"/>
    <w:rsid w:val="00C326DD"/>
    <w:rsid w:val="00C3354C"/>
    <w:rsid w:val="00C33F45"/>
    <w:rsid w:val="00C34F5C"/>
    <w:rsid w:val="00C36867"/>
    <w:rsid w:val="00C3719D"/>
    <w:rsid w:val="00C37E54"/>
    <w:rsid w:val="00C40AD2"/>
    <w:rsid w:val="00C40F43"/>
    <w:rsid w:val="00C41779"/>
    <w:rsid w:val="00C431FC"/>
    <w:rsid w:val="00C43C3A"/>
    <w:rsid w:val="00C45066"/>
    <w:rsid w:val="00C47623"/>
    <w:rsid w:val="00C4795B"/>
    <w:rsid w:val="00C5115A"/>
    <w:rsid w:val="00C516E0"/>
    <w:rsid w:val="00C53884"/>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2AA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551"/>
    <w:rsid w:val="00D829E6"/>
    <w:rsid w:val="00D82E87"/>
    <w:rsid w:val="00D839B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977C6"/>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A69"/>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794"/>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0AC7"/>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47C7C"/>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5EF"/>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1F7A"/>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43E"/>
    <w:rsid w:val="00F817CE"/>
    <w:rsid w:val="00F81D10"/>
    <w:rsid w:val="00F82F14"/>
    <w:rsid w:val="00F82FD6"/>
    <w:rsid w:val="00F82FDD"/>
    <w:rsid w:val="00F8368E"/>
    <w:rsid w:val="00F8456C"/>
    <w:rsid w:val="00F848F4"/>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236"/>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AF"/>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AF9"/>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460C47"/>
  <w15:docId w15:val="{16E4021E-8984-456C-979B-5F93B6A0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98</TotalTime>
  <Pages>2</Pages>
  <Words>463</Words>
  <Characters>2640</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3097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16</cp:revision>
  <cp:lastPrinted>2008-01-31T16:09:00Z</cp:lastPrinted>
  <dcterms:created xsi:type="dcterms:W3CDTF">2023-08-16T08:07:00Z</dcterms:created>
  <dcterms:modified xsi:type="dcterms:W3CDTF">2023-09-27T01:18:00Z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